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    </w:t>
      </w:r>
      <w:r>
        <w:rPr>
          <w:rFonts w:ascii="Times New Roman" w:hAnsi="Times New Roman"/>
          <w:sz w:val="28"/>
          <w:szCs w:val="28"/>
        </w:rPr>
        <w:t xml:space="preserve">Приложение </w:t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постановлению администрации</w:t>
      </w:r>
    </w:p>
    <w:p>
      <w:pPr>
        <w:pStyle w:val="Normal"/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>Шушенского сельсовета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/>
      </w:pPr>
      <w:r>
        <w:rPr>
          <w:rFonts w:ascii="Times New Roman" w:hAnsi="Times New Roman"/>
          <w:sz w:val="28"/>
          <w:szCs w:val="28"/>
        </w:rPr>
        <w:t xml:space="preserve">от </w:t>
      </w:r>
      <w:r>
        <w:rPr>
          <w:rFonts w:ascii="Times New Roman" w:hAnsi="Times New Roman"/>
          <w:sz w:val="28"/>
          <w:szCs w:val="28"/>
        </w:rPr>
        <w:t>28.12</w:t>
      </w:r>
      <w:r>
        <w:rPr>
          <w:rFonts w:ascii="Times New Roman" w:hAnsi="Times New Roman"/>
          <w:sz w:val="28"/>
          <w:szCs w:val="28"/>
        </w:rPr>
        <w:t xml:space="preserve">.2016 № </w:t>
      </w:r>
      <w:r>
        <w:rPr>
          <w:rFonts w:ascii="Times New Roman" w:hAnsi="Times New Roman"/>
          <w:sz w:val="28"/>
          <w:szCs w:val="28"/>
        </w:rPr>
        <w:t>98</w:t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5387" w:leader="none"/>
        </w:tabs>
        <w:spacing w:lineRule="auto" w:line="240" w:before="0" w:after="0"/>
        <w:ind w:firstLine="5103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ПАСПОРТ МУНИЦИПАЛЬНОЙ ПРОГРАММЫ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«Муниципальное управление»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tbl>
      <w:tblPr>
        <w:tblW w:w="9606" w:type="dxa"/>
        <w:jc w:val="left"/>
        <w:tblInd w:w="-40" w:type="dxa"/>
        <w:tblBorders>
          <w:top w:val="single" w:sz="4" w:space="0" w:color="00000A"/>
          <w:left w:val="single" w:sz="4" w:space="0" w:color="00000A"/>
          <w:bottom w:val="single" w:sz="4" w:space="0" w:color="00000A"/>
          <w:right w:val="single" w:sz="4" w:space="0" w:color="00000A"/>
          <w:insideH w:val="single" w:sz="4" w:space="0" w:color="00000A"/>
          <w:insideV w:val="single" w:sz="4" w:space="0" w:color="00000A"/>
        </w:tblBorders>
        <w:tblCellMar>
          <w:top w:w="0" w:type="dxa"/>
          <w:left w:w="68" w:type="dxa"/>
          <w:bottom w:w="0" w:type="dxa"/>
          <w:right w:w="108" w:type="dxa"/>
        </w:tblCellMar>
        <w:tblLook w:val="00a0"/>
      </w:tblPr>
      <w:tblGrid>
        <w:gridCol w:w="2657"/>
        <w:gridCol w:w="6948"/>
      </w:tblGrid>
      <w:tr>
        <w:trPr>
          <w:trHeight w:val="970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Наименование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«Муниципальное управление» (далее – Программа)</w:t>
            </w:r>
          </w:p>
        </w:tc>
      </w:tr>
      <w:tr>
        <w:trPr>
          <w:trHeight w:val="2685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Основания для разработки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Постановление администрации Шушенского сельсовета от 30.07.2013г. № 41 "Об утверждении Порядка принятия решений о разработке муниципальных программ Шушенского сельсовета, их формировании и реализации"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Распоряжение администрации Шушенского сельсовета от 02.08.2013г. № 18 "Об утверждении Перечня муниципальных программ Шушенского сельсовета"</w:t>
            </w:r>
          </w:p>
        </w:tc>
      </w:tr>
      <w:tr>
        <w:trPr>
          <w:trHeight w:val="1329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Ответственный исполнитель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администрация Шушенского сельсовета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Соисполнители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  <w:tr>
        <w:trPr>
          <w:trHeight w:val="1980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tabs>
                <w:tab w:val="left" w:pos="1134" w:leader="none"/>
              </w:tabs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Перечень подпрограмм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2"/>
              </w:numPr>
              <w:overflowPunct w:val="tru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 имуществом                  и земельными ресурсами»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tru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«Управление муниципальными финансами»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tru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документами территориального планирования»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true"/>
              <w:spacing w:lineRule="auto" w:line="240" w:before="0" w:after="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«Повышение энергетической эффективности                и сокращение энергетических издержек в бюджетном секторе»</w:t>
            </w:r>
          </w:p>
          <w:p>
            <w:pPr>
              <w:pStyle w:val="Normal"/>
              <w:numPr>
                <w:ilvl w:val="0"/>
                <w:numId w:val="2"/>
              </w:numPr>
              <w:overflowPunct w:val="true"/>
              <w:spacing w:lineRule="auto" w:line="240" w:before="0" w:after="200"/>
              <w:jc w:val="both"/>
              <w:textAlignment w:val="baseline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«Обеспечение реализации муниципальной программы»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Цель муниципальной программы 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both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муниципального управления в рамках выполнения установленных функций и полномочий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Задачи муниципальной программы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jc w:val="center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  <w:lang w:eastAsia="en-US"/>
              </w:rPr>
              <w:t>Формирование целостной и эффективной системы управления энергосбережением и повышением энергетической эффективности</w:t>
            </w:r>
          </w:p>
          <w:p>
            <w:pPr>
              <w:pStyle w:val="ConsPlusCell"/>
              <w:numPr>
                <w:ilvl w:val="0"/>
                <w:numId w:val="3"/>
              </w:numPr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Создание условий для выполнения полномочий по решению вопросов местного значения поселения и отдельных государственных полномочий</w:t>
            </w:r>
          </w:p>
        </w:tc>
      </w:tr>
      <w:tr>
        <w:trPr>
          <w:trHeight w:val="1295" w:hRule="atLeast"/>
        </w:trPr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Этапы и сроки реализации муниципальной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ConsPlusCell"/>
              <w:spacing w:lineRule="auto" w:line="276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cs="Times New Roman" w:ascii="Times New Roman" w:hAnsi="Times New Roman"/>
                <w:sz w:val="28"/>
                <w:szCs w:val="28"/>
              </w:rPr>
              <w:t>2014-2018 годы</w:t>
            </w:r>
          </w:p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tabs>
                <w:tab w:val="left" w:pos="1418" w:leader="none"/>
              </w:tabs>
              <w:spacing w:lineRule="auto" w:line="240" w:before="0" w:after="0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Перечень целевых показателей и показателей результативности программы с расшифровкой плановых значений по годам ее реализации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Утвержден в приложении № 1 и № 2  к программе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/>
                <w:sz w:val="28"/>
                <w:szCs w:val="28"/>
                <w:lang w:eastAsia="ru-RU"/>
              </w:rPr>
              <w:t>Информация по ресурсному обеспечению программы, в том числе в разбивке по источникам финансирования по годам реализации программы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Планируемое финансирование программных мероприятий составляет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11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121 668,91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в том числе             за счет средств: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федерального бюджета 253 858,0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62 200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58 413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65 945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67 300 руб.;</w:t>
            </w:r>
          </w:p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2018 год – 0,00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краевого бюджета </w:t>
            </w:r>
            <w:r>
              <w:rPr>
                <w:rFonts w:ascii="Times New Roman" w:hAnsi="Times New Roman"/>
                <w:sz w:val="28"/>
                <w:szCs w:val="28"/>
              </w:rPr>
              <w:t>77 303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10 799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2015 год –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52 863,10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10 241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1 700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bookmarkStart w:id="0" w:name="__DdeLink__224_1525909345"/>
            <w:bookmarkEnd w:id="0"/>
            <w:r>
              <w:rPr>
                <w:rFonts w:ascii="Times New Roman" w:hAnsi="Times New Roman"/>
                <w:sz w:val="28"/>
                <w:szCs w:val="28"/>
              </w:rPr>
              <w:t>2018 год – 1 700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районного бюджета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10 648,0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2014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10 648,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2016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0,0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0,0 руб.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бюджета поселения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 xml:space="preserve">10 </w:t>
            </w:r>
            <w:r>
              <w:rPr>
                <w:rFonts w:ascii="Times New Roman" w:hAnsi="Times New Roman"/>
                <w:sz w:val="28"/>
                <w:szCs w:val="28"/>
                <w:lang w:val="ru-RU"/>
              </w:rPr>
              <w:t>779 859,81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руб., из них: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2014 год –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2 022490,78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2015 год – 2 288 847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,06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 xml:space="preserve">2016 год – </w:t>
            </w:r>
            <w:r>
              <w:rPr>
                <w:rFonts w:ascii="Times New Roman" w:hAnsi="Times New Roman"/>
                <w:sz w:val="28"/>
                <w:szCs w:val="28"/>
              </w:rPr>
              <w:t>2 175 521,97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2017 год – 2 146 500 руб.;</w:t>
            </w:r>
          </w:p>
          <w:p>
            <w:pPr>
              <w:pStyle w:val="Normal"/>
              <w:spacing w:lineRule="auto" w:line="240" w:before="0" w:after="0"/>
              <w:jc w:val="both"/>
              <w:rPr/>
            </w:pPr>
            <w:r>
              <w:rPr>
                <w:rFonts w:ascii="Times New Roman" w:hAnsi="Times New Roman"/>
                <w:sz w:val="28"/>
                <w:szCs w:val="28"/>
              </w:rPr>
              <w:t>2018 год – 2 146 500 руб.</w:t>
            </w:r>
          </w:p>
        </w:tc>
      </w:tr>
      <w:tr>
        <w:trPr/>
        <w:tc>
          <w:tcPr>
            <w:tcW w:w="2657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spacing w:lineRule="auto" w:line="240" w:before="0" w:after="0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Перечень объектов капитального строительства </w:t>
            </w:r>
          </w:p>
        </w:tc>
        <w:tc>
          <w:tcPr>
            <w:tcW w:w="6948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  <w:insideH w:val="single" w:sz="4" w:space="0" w:color="00000A"/>
              <w:insideV w:val="single" w:sz="4" w:space="0" w:color="00000A"/>
            </w:tcBorders>
            <w:shd w:fill="auto" w:val="clear"/>
            <w:tcMar>
              <w:left w:w="68" w:type="dxa"/>
            </w:tcMar>
          </w:tcPr>
          <w:p>
            <w:pPr>
              <w:pStyle w:val="Normal"/>
              <w:numPr>
                <w:ilvl w:val="0"/>
                <w:numId w:val="0"/>
              </w:numPr>
              <w:spacing w:lineRule="auto" w:line="240" w:before="0" w:after="0"/>
              <w:outlineLvl w:val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отсутствуют</w:t>
            </w:r>
          </w:p>
        </w:tc>
      </w:tr>
    </w:tbl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outlineLvl w:val="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2. Характеристика текущего состояния соответствующей сферы с указанием основных показателей социально-экономического развития территории сельсовета и анализ социальных, финансово-экономических и прочих рисков реализации программы</w:t>
      </w:r>
    </w:p>
    <w:p>
      <w:pPr>
        <w:pStyle w:val="Normal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jc w:val="center"/>
        <w:outlineLvl w:val="1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соответствии с Федеральным законом от 06.10.2003 года № 131-ФЗ «Об общих принципах организации местного самоуправления в Российской Федерации» к вопросам местного значения поселения относятся: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формирование, утверждение, исполнение бюджета поселения и контроль за исполнением данного бюджета;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установление, изменение и отмена местных налогов и сборов поселения;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владение, пользование и распоряжение имуществом, находящимся в муниципальной собственности поселения;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cs="Calibri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утверждение генеральных планов поселения, правил землепользования и застройки, утверждение подготовленной на основе генеральных планов поселения документации по планировке территории, выдача разрешений на строительство (за исключением случаев, предусмотренных Градостроительным </w:t>
      </w:r>
      <w:hyperlink r:id="rId2">
        <w:r>
          <w:rPr>
            <w:rStyle w:val="Style20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иными федеральными законами), разрешений на ввод объектов в эксплуатацию при осуществлении строительства, реконструкции объектов капитального строительства, расположенных на территории поселения, утверждение местных нормативов градостроительного проектирования поселений, резервирование земель и изъятие, в том числе путем выкупа, земельных участков в границах поселения для муниципальных нужд, осуществление муниципального земельного контроля за использованием земель поселения, осуществление в случаях, предусмотренных Градостроительным </w:t>
      </w:r>
      <w:hyperlink r:id="rId3">
        <w:r>
          <w:rPr>
            <w:rStyle w:val="Style20"/>
            <w:rFonts w:ascii="Times New Roman" w:hAnsi="Times New Roman"/>
            <w:sz w:val="28"/>
            <w:szCs w:val="28"/>
          </w:rPr>
          <w:t>кодексом</w:t>
        </w:r>
      </w:hyperlink>
      <w:r>
        <w:rPr>
          <w:rFonts w:ascii="Times New Roman" w:hAnsi="Times New Roman"/>
          <w:sz w:val="28"/>
          <w:szCs w:val="28"/>
        </w:rPr>
        <w:t xml:space="preserve"> Российской Федерации, осмотров зданий, сооружений и выдача рекомендаций об устранении выявленных в ходе таких осмотров нарушений;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присвоение адресов объектам адресации, изменение, аннулирование адресов, присвоение наименований элементам улично-дорожной сети (за исключением автомобильных дорог федерального значения, автомобильных дорог регионального или межмуниципального значения, местного значения муниципального района), наименований элементам планировочной структуры в границах поселения, изменение, аннулирование таких наименований, размещение информации в государственном адресном реестре; 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/>
      </w:pPr>
      <w:r>
        <w:rPr>
          <w:rFonts w:ascii="Times New Roman" w:hAnsi="Times New Roman"/>
          <w:sz w:val="28"/>
          <w:szCs w:val="28"/>
        </w:rPr>
        <w:t xml:space="preserve">- обеспечение выполнения работ, необходимых для создания искусственных земельных участков для нужд поселения, проведение открытого аукциона на право заключить договор о создании искусственного земельного участка в соответствии с федеральным </w:t>
      </w:r>
      <w:hyperlink r:id="rId4">
        <w:r>
          <w:rPr>
            <w:rStyle w:val="Style20"/>
            <w:rFonts w:ascii="Times New Roman" w:hAnsi="Times New Roman"/>
            <w:sz w:val="28"/>
            <w:szCs w:val="28"/>
          </w:rPr>
          <w:t>законом</w:t>
        </w:r>
      </w:hyperlink>
      <w:r>
        <w:rPr>
          <w:rFonts w:ascii="Times New Roman" w:hAnsi="Times New Roman"/>
          <w:sz w:val="28"/>
          <w:szCs w:val="28"/>
        </w:rPr>
        <w:t>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сельсовета вправе участвовать в осуществлении отдельных государственных полномочий в соответствии с федеральным и краевым законодательством, к которым относятся: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осуществление первичного воинского учета;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создание и обеспечение деятельности административных комиссий.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Финансовое обеспечение отдельных государственных полномочий, переданных администрации сельсовета, осуществляется только за счет предоставляемых бюджету поселения субвенций из соответствующих бюджетов.</w:t>
      </w:r>
    </w:p>
    <w:p>
      <w:pPr>
        <w:pStyle w:val="Normal"/>
        <w:widowControl w:val="false"/>
        <w:spacing w:lineRule="auto" w:line="240" w:before="0" w:after="0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Выполнение отдельных полномочий поселения в области градостроительной деятельности и земельного контроля ежегодно передаются на уровень района в соответствии с ч. 4 ст. 15 Федерального закона от 06.10.2003 года № 131-ФЗ «Об общих принципах организации местного самоуправления в Российской Федерации», на основании решений представительного органа Шарыповского района и поселения о передаче полномочий и заключенного соответствующего соглашения.</w:t>
      </w:r>
    </w:p>
    <w:p>
      <w:pPr>
        <w:pStyle w:val="Normal"/>
        <w:widowControl w:val="false"/>
        <w:spacing w:lineRule="auto" w:line="240" w:before="0" w:after="0"/>
        <w:ind w:left="57"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Ежегодный объем межбюджетных трансфертов, необходимый для осуществления передаваемых полномочий, определяется в соответствии с Порядком определения объема межбюджетных трансфертов, предоставляемых из бюджета поселения в бюджет муниципального района на финансовое обеспечение исполнения переданных полномочий и утверждается решением Шушенского сельского Совета депутатов на очередной финансовый год и плановый период.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осуществление муниципальной программы влияет множество экономических и социальных факторов, в связи с чем, имеются следующие риски, способные негативно повлиять на ход её реализации: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/>
      </w:pPr>
      <w:r>
        <w:rPr>
          <w:rFonts w:ascii="Times New Roman" w:hAnsi="Times New Roman"/>
          <w:sz w:val="28"/>
          <w:szCs w:val="28"/>
        </w:rPr>
        <w:t xml:space="preserve">основной риск для муниципальной программы – изменение федерального и краевого законодательства. В первую очередь данный риск влияет на формирование межбюджетных отношений между Шарыповским районом и муниципальным образованием </w:t>
      </w:r>
      <w:r>
        <w:rPr>
          <w:rFonts w:ascii="Times New Roman" w:hAnsi="Times New Roman"/>
          <w:sz w:val="28"/>
          <w:szCs w:val="28"/>
          <w:lang w:val="en-US"/>
        </w:rPr>
        <w:t xml:space="preserve">Ieitycrbq </w:t>
      </w:r>
      <w:r>
        <w:rPr>
          <w:rFonts w:ascii="Times New Roman" w:hAnsi="Times New Roman"/>
          <w:sz w:val="28"/>
          <w:szCs w:val="28"/>
        </w:rPr>
        <w:t>сельсовет. Перераспределение расходных полномочий между краевым и местными бюджетами влечет за собой необходимость пересмотра распределения налоговых доходов, что не способствует построению стабильной и эффективной системы межбюджетных отношений;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замедление темпов экономического развития. В данной ситуации возможно снижение поступлений налоговых и неналоговых доходов в бюджет поселения и, как следствие, отсутствие возможности увеличения расходов бюджета поселения, в связи с чем, заданные показатели результативности могут быть невыполненными.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40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3. Приоритеты и цели социально-экономического развития в соответствующей сфере, описание основных целей и задач программы, прогноз развития соответствующей сферы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40"/>
        <w:jc w:val="both"/>
        <w:rPr/>
      </w:pPr>
      <w:r>
        <w:rPr>
          <w:rFonts w:ascii="Times New Roman" w:hAnsi="Times New Roman"/>
          <w:sz w:val="28"/>
          <w:szCs w:val="28"/>
        </w:rPr>
        <w:t xml:space="preserve">Приоритеты и цели государственной политики определены в соответствии с </w:t>
      </w:r>
      <w:hyperlink r:id="rId5">
        <w:r>
          <w:rPr>
            <w:rStyle w:val="Style20"/>
            <w:rFonts w:ascii="Times New Roman" w:hAnsi="Times New Roman"/>
            <w:sz w:val="28"/>
            <w:szCs w:val="28"/>
          </w:rPr>
          <w:t>Концепцией</w:t>
        </w:r>
      </w:hyperlink>
      <w:r>
        <w:rPr>
          <w:rFonts w:ascii="Times New Roman" w:hAnsi="Times New Roman"/>
          <w:sz w:val="28"/>
          <w:szCs w:val="28"/>
        </w:rPr>
        <w:t xml:space="preserve"> долгосрочного социально-экономического развития Российской Федерации на период до 2020 года, утвержденной распоряжением Правительства Российской Федерации от 17 ноября 2008 года N 1662-р.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Поставленные цели и задачи программы соответствуют социально-экономическим приоритетам администрации сельсовета.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Целью муниципальной программы является создание условий для эффективного, ответственного и прозрачного муниципального управления в рамках выполнения установленных функций и полномочий.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муниципальной программы направлена на достижение следующих задач: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1.Обеспечение эффективности управления муниципальной собственностью и земельными ресурсами, направленного на укрепление доходной базы бюджета поселения;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2. Создание условий для эффективного, ответственного и прозрачного управления финансовыми ресурсами в рамках выполнения установленных функций и полномочий, а также повышения эффективности расходов бюджета поселения;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</w:rPr>
        <w:t>3.Обеспечение устойчивого развития территории сельсовета, развития инженерной, транспортной  и социальной инфраструктуры и создание условий для развития массового строительства жилья экономического класса, в том числе малоэтажного, в совокупности - рациональное и эффективное использование территории сельсовета;</w:t>
      </w:r>
    </w:p>
    <w:p>
      <w:pPr>
        <w:pStyle w:val="ConsPlusCell"/>
        <w:ind w:firstLine="567"/>
        <w:jc w:val="both"/>
        <w:rPr>
          <w:rFonts w:ascii="Times New Roman" w:hAnsi="Times New Roman" w:cs="Times New Roman"/>
          <w:sz w:val="28"/>
          <w:szCs w:val="28"/>
          <w:lang w:eastAsia="en-US"/>
        </w:rPr>
      </w:pPr>
      <w:r>
        <w:rPr>
          <w:rFonts w:cs="Times New Roman" w:ascii="Times New Roman" w:hAnsi="Times New Roman"/>
          <w:sz w:val="28"/>
          <w:szCs w:val="28"/>
          <w:lang w:eastAsia="en-US"/>
        </w:rPr>
        <w:t>4.Формирование целостной и эффективной системы управления энергосбережением и повышением энергетической эффективности;</w:t>
      </w:r>
    </w:p>
    <w:p>
      <w:pPr>
        <w:pStyle w:val="Normal"/>
        <w:numPr>
          <w:ilvl w:val="0"/>
          <w:numId w:val="0"/>
        </w:numPr>
        <w:spacing w:lineRule="auto" w:line="240" w:before="0" w:after="0"/>
        <w:ind w:firstLine="567"/>
        <w:jc w:val="both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5.Создание условий для выполнения полномочий по решению вопросов местного значения поселения и отдельных государственных полномочий.</w:t>
      </w:r>
    </w:p>
    <w:p>
      <w:pPr>
        <w:pStyle w:val="ConsPlusNormal1"/>
        <w:widowControl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Перечень целевых показателей и показателей результативности программы с расшифровкой плановых значений по годам ее реализации </w:t>
      </w:r>
      <w:r>
        <w:rPr>
          <w:rFonts w:ascii="Times New Roman" w:hAnsi="Times New Roman"/>
          <w:bCs/>
          <w:sz w:val="28"/>
          <w:szCs w:val="28"/>
        </w:rPr>
        <w:t>приведены в приложении № 1-2.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ListParagraph"/>
        <w:widowControl w:val="false"/>
        <w:tabs>
          <w:tab w:val="left" w:pos="0" w:leader="none"/>
        </w:tabs>
        <w:spacing w:lineRule="auto" w:line="240" w:before="0" w:after="0"/>
        <w:ind w:left="0" w:hanging="0"/>
        <w:jc w:val="center"/>
        <w:rPr>
          <w:rFonts w:ascii="Times New Roman" w:hAnsi="Times New Roman"/>
          <w:b/>
          <w:b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4. </w:t>
      </w:r>
      <w:r>
        <w:rPr>
          <w:rFonts w:ascii="Times New Roman" w:hAnsi="Times New Roman"/>
          <w:b/>
          <w:sz w:val="28"/>
          <w:szCs w:val="28"/>
        </w:rPr>
        <w:t>Механизм реализации отдельных мероприятий программы (описание организационных, экономических и правовых механизмов, необходимых для эффективной реализации отдельных мероприятий программы; последовательность выполнения отдельных мероприятий программы, их взаимоувязанность; критерии выбора исполнителей; критерии выбора получателей муниципальных услуг) или ссылку на нормативный акт, регламентирующий реализацию соответствующих мероприятий</w:t>
      </w:r>
    </w:p>
    <w:p>
      <w:pPr>
        <w:pStyle w:val="Normal"/>
        <w:widowControl w:val="false"/>
        <w:spacing w:lineRule="auto" w:line="240" w:before="0" w:after="0"/>
        <w:ind w:firstLine="540"/>
        <w:jc w:val="center"/>
        <w:rPr>
          <w:rFonts w:ascii="Times New Roman" w:hAnsi="Times New Roman" w:cs="" w:cstheme="minorBidi"/>
          <w:b/>
          <w:b/>
          <w:sz w:val="28"/>
          <w:szCs w:val="28"/>
        </w:rPr>
      </w:pPr>
      <w:r>
        <w:rPr>
          <w:rFonts w:cs="" w:cstheme="minorBidi" w:ascii="Times New Roman" w:hAnsi="Times New Roman"/>
          <w:b/>
          <w:sz w:val="28"/>
          <w:szCs w:val="28"/>
        </w:rPr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Муниципальная программа реализуется в рамках подпрограмм и не содержит отдельных мероприятий.</w:t>
      </w:r>
    </w:p>
    <w:p>
      <w:pPr>
        <w:pStyle w:val="ConsPlusCell"/>
        <w:ind w:firstLine="426"/>
        <w:jc w:val="both"/>
        <w:rPr>
          <w:rFonts w:ascii="Times New Roman" w:hAnsi="Times New Roman"/>
          <w:color w:val="FF0000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</w:r>
    </w:p>
    <w:p>
      <w:pPr>
        <w:pStyle w:val="Normal"/>
        <w:spacing w:lineRule="auto" w:line="24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5. Прогноз конечных результатов программы, характеризующих целевое состояние (изменение состояния) уровня и качества жизни населения, социальной сферы, экономики, степени реализации других общественно значимых интересов и потребностей в соответствующей сфере на территории сельсовета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В результате реализации программы планируется достигнуть следующих показателей: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сохранить уровень исполнения расходов за счет собственных средств бюджета поселения (без учета межбюджетных трансфертов из краевого бюджета, имеющих целевое назначение) на уровне не менее 95%;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доля расходов бюджета поселения, формируемых в рамках муниципальных программ, в общем объеме расходов бюджета поселения составит не менее 96%.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</w:r>
    </w:p>
    <w:p>
      <w:pPr>
        <w:pStyle w:val="Normal"/>
        <w:numPr>
          <w:ilvl w:val="0"/>
          <w:numId w:val="2"/>
        </w:numPr>
        <w:tabs>
          <w:tab w:val="left" w:pos="567" w:leader="none"/>
        </w:tabs>
        <w:spacing w:lineRule="auto" w:line="240" w:before="0" w:after="0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Перечень подпрограмм с указанием сроков их реализации и ожидаемых результатов</w:t>
      </w:r>
    </w:p>
    <w:p>
      <w:pPr>
        <w:pStyle w:val="Normal"/>
        <w:tabs>
          <w:tab w:val="left" w:pos="567" w:leader="none"/>
        </w:tabs>
        <w:spacing w:lineRule="auto" w:line="240" w:before="0" w:after="0"/>
        <w:ind w:left="720" w:hanging="0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firstLine="567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В рамках программы реализуются следующие подпрограммы:</w:t>
      </w:r>
    </w:p>
    <w:p>
      <w:pPr>
        <w:pStyle w:val="Normal"/>
        <w:overflowPunct w:val="tru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1. «Управление муниципальным имуществом                            и земельными ресурсами»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увеличить поступление доходов в бюджет поселения за счет  эффективного управления и распоряжения муниципальным имуществом                  не менее чем на 20%;       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увеличить долю проинвентаризированных   объектов муниципального  имущества по отношению к общему количеству объектов  муниципального имущества до 100 %; </w:t>
      </w:r>
    </w:p>
    <w:p>
      <w:pPr>
        <w:pStyle w:val="Normal"/>
        <w:widowControl w:val="false"/>
        <w:spacing w:lineRule="auto" w:line="240" w:before="0" w:after="0"/>
        <w:ind w:right="57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поступление в бюджет поселения доходов от управления и распоряжения земельными ресурсами (налогооблагаемая база и доходы бюджета поселения от неналоговых платежей за землю) не менее чем на 40%;</w:t>
      </w:r>
    </w:p>
    <w:p>
      <w:pPr>
        <w:pStyle w:val="ConsPlusTitle"/>
        <w:widowControl/>
        <w:ind w:firstLine="567"/>
        <w:jc w:val="both"/>
        <w:rPr>
          <w:rFonts w:ascii="Times New Roman" w:hAnsi="Times New Roman"/>
          <w:b w:val="false"/>
          <w:b w:val="false"/>
          <w:sz w:val="24"/>
          <w:szCs w:val="24"/>
        </w:rPr>
      </w:pPr>
      <w:r>
        <w:rPr>
          <w:rFonts w:ascii="Times New Roman" w:hAnsi="Times New Roman"/>
          <w:b w:val="false"/>
          <w:sz w:val="28"/>
          <w:szCs w:val="28"/>
        </w:rPr>
        <w:t xml:space="preserve">- увеличить долю земельных участков, устранивших нарушение земельного законодательства в результате проведения муниципального земельного контроля до 80 </w:t>
      </w:r>
      <w:r>
        <w:rPr>
          <w:rFonts w:ascii="Times New Roman" w:hAnsi="Times New Roman"/>
          <w:b w:val="false"/>
          <w:sz w:val="24"/>
          <w:szCs w:val="24"/>
        </w:rPr>
        <w:t>%.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/>
          <w:color w:val="FF0000"/>
          <w:sz w:val="28"/>
          <w:szCs w:val="28"/>
          <w:highlight w:val="yellow"/>
        </w:rPr>
      </w:r>
    </w:p>
    <w:p>
      <w:pPr>
        <w:pStyle w:val="Normal"/>
        <w:overflowPunct w:val="tru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2. «Управление муниципальными финансами»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 налоговых и неналоговых доходов бюджета поселения  (без учета субвенций) не менее 28%;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долю расходов бюджета поселения, формируемых в рамках муниципальных программ, в общем объеме расходов бюджета поселения не менее 96%;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высокое качество управления муниципальными финансами поселения;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не допустить в бюджете поселения просроченной кредиторской задолженности по выплате заработной платы с начислениями работникам бюджетной сферы и по расчетам за коммунальные услуги;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увеличить исполнение расходов поселения (без учета межбюджетных трансфертов из краевого и районного бюджетов) не менее 95%.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overflowPunct w:val="tru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3. «Обеспечение документами территориального планирования»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Calibri" w:eastAsiaTheme="minorHAnsi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позволит: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- обеспечить документами территориального планирования Шушенского сельсовета;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- увеличить долю территории поселения, обеспеченной документами территориального планирования до 100%.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/>
          <w:color w:val="FF0000"/>
          <w:sz w:val="28"/>
          <w:szCs w:val="28"/>
          <w:highlight w:val="yellow"/>
        </w:rPr>
      </w:pPr>
      <w:r>
        <w:rPr>
          <w:rFonts w:ascii="Times New Roman" w:hAnsi="Times New Roman"/>
          <w:color w:val="FF0000"/>
          <w:sz w:val="28"/>
          <w:szCs w:val="28"/>
          <w:highlight w:val="yellow"/>
        </w:rPr>
      </w:r>
    </w:p>
    <w:p>
      <w:pPr>
        <w:pStyle w:val="Normal"/>
        <w:overflowPunct w:val="tru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4. «Повышение энергетической эффективности                       и сокращение энергетических издержек в бюджетном секторе»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Экономический эффект от реализации подпрограммных мероприятий будет выражен в экономии каждого энергоресурса на 6,4%.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На протяжении периода действия подпрограммы будет производиться обучение персонала для организации работ по проведению энергосберегающих мероприятий, что улучшит профессиональные навыки работников муниципальных учреждений.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результате реализации подпрограммы на территории поселения планируется создать предпосылки улучшения качества обеспечения населения энергоресурсами, что будет способствовать повышению качества жизни населения.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  <w:highlight w:val="yellow"/>
        </w:rPr>
      </w:pPr>
      <w:r>
        <w:rPr>
          <w:rFonts w:ascii="Times New Roman" w:hAnsi="Times New Roman"/>
          <w:sz w:val="28"/>
          <w:szCs w:val="28"/>
          <w:highlight w:val="yellow"/>
        </w:rPr>
      </w:r>
    </w:p>
    <w:p>
      <w:pPr>
        <w:pStyle w:val="Normal"/>
        <w:overflowPunct w:val="true"/>
        <w:spacing w:lineRule="auto" w:line="240" w:before="0" w:after="0"/>
        <w:ind w:firstLine="567"/>
        <w:jc w:val="both"/>
        <w:textAlignment w:val="baseline"/>
        <w:rPr>
          <w:rFonts w:ascii="Times New Roman" w:hAnsi="Times New Roman"/>
          <w:i/>
          <w:i/>
          <w:sz w:val="28"/>
          <w:szCs w:val="28"/>
        </w:rPr>
      </w:pPr>
      <w:r>
        <w:rPr>
          <w:rFonts w:ascii="Times New Roman" w:hAnsi="Times New Roman"/>
          <w:i/>
          <w:sz w:val="28"/>
          <w:szCs w:val="28"/>
        </w:rPr>
        <w:t>Подпрограмма 5. «Обеспечение реализации муниципальной программы»</w:t>
      </w:r>
    </w:p>
    <w:p>
      <w:pPr>
        <w:pStyle w:val="Normal"/>
        <w:spacing w:lineRule="auto" w:line="240" w:before="0" w:after="0"/>
        <w:ind w:firstLine="567"/>
        <w:jc w:val="both"/>
        <w:rPr>
          <w:rFonts w:ascii="Times New Roman" w:hAnsi="Times New Roman" w:eastAsia="Times New Roman" w:cs="" w:cstheme="minorBidi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Срок реализации подпрограммы – 2014-2018 годы.</w:t>
      </w:r>
    </w:p>
    <w:p>
      <w:pPr>
        <w:pStyle w:val="Normal"/>
        <w:widowControl w:val="false"/>
        <w:spacing w:lineRule="auto" w:line="240" w:before="0" w:after="0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Реализация мероприятий подпрограммы позволит повысить  эффективность управления бюджетными средствами и муниципального имущества в части полномочий по решению вопросов реализации программы, совершенствование системы оплаты труда, повышение качества межведомственного и межуправленческого взаимодействия.</w:t>
      </w:r>
    </w:p>
    <w:p>
      <w:pPr>
        <w:pStyle w:val="Normal"/>
        <w:widowControl w:val="false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7. Информация о распределении планируемых расходов по отдельным  мероприятиям  программы, подпрограммам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3                         к Программе. </w:t>
      </w:r>
    </w:p>
    <w:p>
      <w:pPr>
        <w:pStyle w:val="Normal"/>
        <w:spacing w:lineRule="auto" w:line="240"/>
        <w:ind w:firstLine="567"/>
        <w:jc w:val="center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 xml:space="preserve">8.  Информация о планируемых объемах бюджетных </w:t>
      </w:r>
      <w:r>
        <w:rPr>
          <w:rFonts w:ascii="Times New Roman" w:hAnsi="Times New Roman"/>
          <w:b/>
          <w:sz w:val="28"/>
          <w:szCs w:val="28"/>
        </w:rPr>
        <w:t>ассигнований, направленных на реализацию научной, научно-технической и инновационной деятельности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Осуществление научной, </w:t>
      </w:r>
      <w:r>
        <w:rPr>
          <w:rFonts w:ascii="Times New Roman" w:hAnsi="Times New Roman"/>
          <w:sz w:val="28"/>
          <w:szCs w:val="28"/>
        </w:rPr>
        <w:t xml:space="preserve">научно-технической и инновационной деятельности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jc w:val="center"/>
        <w:rPr>
          <w:rFonts w:ascii="Times New Roman" w:hAnsi="Times New Roman"/>
          <w:b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9. И</w:t>
      </w:r>
      <w:r>
        <w:rPr>
          <w:rFonts w:ascii="Times New Roman" w:hAnsi="Times New Roman"/>
          <w:b/>
          <w:sz w:val="28"/>
          <w:szCs w:val="28"/>
        </w:rPr>
        <w:t>нформация о ресурсном обеспечении и прогнозной оценке расходов на реализацию целей программы с учетом источников финансирования, в том числе средств федерального, краевого и бюджета поселения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И</w:t>
      </w:r>
      <w:r>
        <w:rPr>
          <w:rFonts w:ascii="Times New Roman" w:hAnsi="Times New Roman"/>
          <w:sz w:val="28"/>
          <w:szCs w:val="28"/>
        </w:rPr>
        <w:t xml:space="preserve">нформация по данному разделу представлена в приложении № 5                         к Программе. </w:t>
      </w:r>
    </w:p>
    <w:p>
      <w:pPr>
        <w:pStyle w:val="Normal"/>
        <w:spacing w:lineRule="auto" w:line="240"/>
        <w:ind w:firstLine="567"/>
        <w:jc w:val="both"/>
        <w:rPr>
          <w:rFonts w:ascii="Times New Roman" w:hAnsi="Times New Roman"/>
          <w:b/>
          <w:b/>
          <w:color w:val="000000"/>
          <w:sz w:val="28"/>
          <w:szCs w:val="28"/>
          <w:lang w:eastAsia="ru-RU"/>
        </w:rPr>
      </w:pPr>
      <w:r>
        <w:rPr>
          <w:rFonts w:ascii="Times New Roman" w:hAnsi="Times New Roman"/>
          <w:b/>
          <w:color w:val="000000"/>
          <w:sz w:val="28"/>
          <w:szCs w:val="28"/>
          <w:lang w:eastAsia="ru-RU"/>
        </w:rPr>
        <w:t xml:space="preserve">10. </w:t>
      </w:r>
      <w:r>
        <w:rPr>
          <w:rFonts w:ascii="Times New Roman" w:hAnsi="Times New Roman"/>
          <w:b/>
          <w:sz w:val="28"/>
          <w:szCs w:val="28"/>
          <w:lang w:eastAsia="ru-RU"/>
        </w:rPr>
        <w:t>Прогноз сводных показателей муниципальных заданий</w:t>
      </w:r>
    </w:p>
    <w:p>
      <w:pPr>
        <w:pStyle w:val="ListParagraph"/>
        <w:numPr>
          <w:ilvl w:val="0"/>
          <w:numId w:val="0"/>
        </w:numPr>
        <w:tabs>
          <w:tab w:val="left" w:pos="1134" w:leader="none"/>
          <w:tab w:val="left" w:pos="1418" w:leader="none"/>
        </w:tabs>
        <w:spacing w:lineRule="auto" w:line="240" w:before="0" w:after="0"/>
        <w:ind w:left="0" w:firstLine="540"/>
        <w:jc w:val="both"/>
        <w:outlineLvl w:val="1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    </w:t>
      </w:r>
      <w:r>
        <w:rPr>
          <w:rFonts w:ascii="Times New Roman" w:hAnsi="Times New Roman"/>
          <w:sz w:val="28"/>
          <w:szCs w:val="28"/>
          <w:lang w:eastAsia="ru-RU"/>
        </w:rPr>
        <w:t xml:space="preserve">Оказания муниципальных услуг юридическим и физическим лицам               </w:t>
      </w:r>
      <w:r>
        <w:rPr>
          <w:rFonts w:ascii="Times New Roman" w:hAnsi="Times New Roman"/>
          <w:color w:val="000000"/>
          <w:sz w:val="28"/>
          <w:szCs w:val="28"/>
          <w:lang w:eastAsia="ru-RU"/>
        </w:rPr>
        <w:t>в рамках Программы не предусмотрено.</w:t>
      </w:r>
    </w:p>
    <w:p>
      <w:pPr>
        <w:pStyle w:val="Normal"/>
        <w:spacing w:lineRule="auto" w:line="240" w:before="0" w:after="200"/>
        <w:ind w:firstLine="567"/>
        <w:jc w:val="both"/>
        <w:rPr/>
      </w:pPr>
      <w:r>
        <w:rPr/>
      </w:r>
    </w:p>
    <w:sectPr>
      <w:type w:val="nextPage"/>
      <w:pgSz w:w="11906" w:h="16838"/>
      <w:pgMar w:left="1701" w:right="851" w:header="0" w:top="794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Arial">
    <w:charset w:val="cc"/>
    <w:family w:val="roman"/>
    <w:pitch w:val="variable"/>
  </w:font>
  <w:font w:name="Tahoma">
    <w:charset w:val="cc"/>
    <w:family w:val="roman"/>
    <w:pitch w:val="variable"/>
  </w:font>
  <w:font w:name="Times New Roman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sz w:val="28"/>
        <w:b/>
        <w:rFonts w:ascii="Times New Roman" w:hAnsi="Times New Roman"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sz w:val="28"/>
        <w:b/>
        <w:rFonts w:ascii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sz w:val="28"/>
        <w:b/>
        <w:rFonts w:ascii="Times New Roman" w:hAnsi="Times New Roman"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sz w:val="28"/>
        <w:b/>
        <w:rFonts w:ascii="Times New Roman" w:hAnsi="Times New Roman"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sz w:val="28"/>
        <w:b/>
        <w:rFonts w:ascii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sz w:val="28"/>
        <w:b/>
        <w:rFonts w:ascii="Times New Roman" w:hAnsi="Times New Roman"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sz w:val="28"/>
        <w:b/>
        <w:rFonts w:ascii="Times New Roman" w:hAnsi="Times New Roman"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sz w:val="28"/>
        <w:b/>
        <w:rFonts w:ascii="Times New Roman" w:hAnsi="Times New Roman" w:cs="Times New Roman"/>
      </w:rPr>
    </w:lvl>
  </w:abstractNum>
  <w:abstractNum w:abstractNumId="2">
    <w:lvl w:ilvl="0">
      <w:start w:val="1"/>
      <w:numFmt w:val="decimal"/>
      <w:lvlText w:val="%1."/>
      <w:lvlJc w:val="left"/>
      <w:pPr>
        <w:ind w:left="720" w:hanging="360"/>
      </w:pPr>
      <w:rPr>
        <w:sz w:val="28"/>
        <w:b/>
        <w:rFonts w:ascii="Times New Roman" w:hAnsi="Times New Roman" w:eastAsia="Calibri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lvl w:ilvl="0">
      <w:start w:val="1"/>
      <w:numFmt w:val="decimal"/>
      <w:lvlText w:val="%1."/>
      <w:lvlJc w:val="left"/>
      <w:pPr>
        <w:ind w:left="720" w:hanging="360"/>
      </w:pPr>
      <w:rPr>
        <w:sz w:val="28"/>
        <w:rFonts w:ascii="Times New Roman" w:hAnsi="Times New Roman" w:cs="Calibri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4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imes New Roman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bf41be"/>
    <w:pPr>
      <w:widowControl/>
      <w:bidi w:val="0"/>
      <w:spacing w:lineRule="auto" w:line="276" w:before="0" w:after="200"/>
      <w:jc w:val="left"/>
    </w:pPr>
    <w:rPr>
      <w:rFonts w:ascii="Calibri" w:hAnsi="Calibri" w:eastAsia="Calibri" w:cs="Times New Roman"/>
      <w:color w:val="00000A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onsPlusNormal" w:customStyle="1">
    <w:name w:val="ConsPlusNormal Знак"/>
    <w:link w:val="ConsPlusNormal"/>
    <w:qFormat/>
    <w:locked/>
    <w:rsid w:val="0058550a"/>
    <w:rPr>
      <w:rFonts w:ascii="Arial" w:hAnsi="Arial"/>
      <w:sz w:val="22"/>
      <w:lang w:val="ru-RU" w:eastAsia="ru-RU"/>
    </w:rPr>
  </w:style>
  <w:style w:type="character" w:styleId="Style14" w:customStyle="1">
    <w:name w:val="Основной текст Знак"/>
    <w:link w:val="a7"/>
    <w:uiPriority w:val="99"/>
    <w:semiHidden/>
    <w:qFormat/>
    <w:locked/>
    <w:rsid w:val="0058550a"/>
    <w:rPr>
      <w:rFonts w:cs="Times New Roman"/>
      <w:sz w:val="28"/>
      <w:lang w:val="ru-RU" w:eastAsia="ru-RU"/>
    </w:rPr>
  </w:style>
  <w:style w:type="character" w:styleId="Style15" w:customStyle="1">
    <w:name w:val="Основной текст с отступом Знак"/>
    <w:link w:val="a9"/>
    <w:uiPriority w:val="99"/>
    <w:semiHidden/>
    <w:qFormat/>
    <w:locked/>
    <w:rsid w:val="0058550a"/>
    <w:rPr>
      <w:rFonts w:cs="Times New Roman"/>
      <w:sz w:val="24"/>
      <w:lang w:val="ru-RU" w:eastAsia="ru-RU"/>
    </w:rPr>
  </w:style>
  <w:style w:type="character" w:styleId="Style16" w:customStyle="1">
    <w:name w:val="Текст выноски Знак"/>
    <w:link w:val="ab"/>
    <w:uiPriority w:val="99"/>
    <w:semiHidden/>
    <w:qFormat/>
    <w:locked/>
    <w:rsid w:val="00970c12"/>
    <w:rPr>
      <w:rFonts w:ascii="Tahoma" w:hAnsi="Tahoma" w:cs="Times New Roman"/>
      <w:sz w:val="16"/>
      <w:lang w:eastAsia="en-US"/>
    </w:rPr>
  </w:style>
  <w:style w:type="character" w:styleId="Style17" w:customStyle="1">
    <w:name w:val="Верхний колонтитул Знак"/>
    <w:basedOn w:val="DefaultParagraphFont"/>
    <w:link w:val="ad"/>
    <w:uiPriority w:val="99"/>
    <w:semiHidden/>
    <w:qFormat/>
    <w:rsid w:val="00cd344b"/>
    <w:rPr>
      <w:sz w:val="22"/>
      <w:szCs w:val="22"/>
      <w:lang w:eastAsia="en-US"/>
    </w:rPr>
  </w:style>
  <w:style w:type="character" w:styleId="Style18" w:customStyle="1">
    <w:name w:val="Нижний колонтитул Знак"/>
    <w:basedOn w:val="DefaultParagraphFont"/>
    <w:link w:val="af"/>
    <w:uiPriority w:val="99"/>
    <w:semiHidden/>
    <w:qFormat/>
    <w:rsid w:val="00cd344b"/>
    <w:rPr>
      <w:sz w:val="22"/>
      <w:szCs w:val="22"/>
      <w:lang w:eastAsia="en-US"/>
    </w:rPr>
  </w:style>
  <w:style w:type="character" w:styleId="Style19" w:customStyle="1">
    <w:name w:val="Абзац списка Знак"/>
    <w:link w:val="a4"/>
    <w:uiPriority w:val="99"/>
    <w:qFormat/>
    <w:locked/>
    <w:rsid w:val="0001410b"/>
    <w:rPr>
      <w:sz w:val="22"/>
      <w:szCs w:val="22"/>
      <w:lang w:eastAsia="en-US"/>
    </w:rPr>
  </w:style>
  <w:style w:type="character" w:styleId="Default" w:customStyle="1">
    <w:name w:val="Default Знак"/>
    <w:link w:val="Default0"/>
    <w:qFormat/>
    <w:locked/>
    <w:rsid w:val="007433e6"/>
    <w:rPr>
      <w:color w:val="000000"/>
      <w:sz w:val="24"/>
      <w:szCs w:val="24"/>
    </w:rPr>
  </w:style>
  <w:style w:type="character" w:styleId="FontStyle13" w:customStyle="1">
    <w:name w:val="Font Style13"/>
    <w:qFormat/>
    <w:rsid w:val="007433e6"/>
    <w:rPr>
      <w:rFonts w:ascii="Times New Roman" w:hAnsi="Times New Roman" w:cs="Times New Roman"/>
      <w:sz w:val="20"/>
      <w:szCs w:val="20"/>
    </w:rPr>
  </w:style>
  <w:style w:type="character" w:styleId="FontStyle11" w:customStyle="1">
    <w:name w:val="Font Style11"/>
    <w:qFormat/>
    <w:rsid w:val="007433e6"/>
    <w:rPr>
      <w:rFonts w:ascii="Times New Roman" w:hAnsi="Times New Roman" w:cs="Times New Roman"/>
      <w:sz w:val="18"/>
      <w:szCs w:val="18"/>
    </w:rPr>
  </w:style>
  <w:style w:type="character" w:styleId="ListLabel1">
    <w:name w:val="ListLabel 1"/>
    <w:qFormat/>
    <w:rPr>
      <w:rFonts w:ascii="Times New Roman" w:hAnsi="Times New Roman" w:cs="Times New Roman"/>
      <w:b/>
      <w:sz w:val="28"/>
    </w:rPr>
  </w:style>
  <w:style w:type="character" w:styleId="ListLabel2">
    <w:name w:val="ListLabel 2"/>
    <w:qFormat/>
    <w:rPr>
      <w:rFonts w:cs="Times New Roman"/>
      <w:sz w:val="24"/>
      <w:szCs w:val="24"/>
    </w:rPr>
  </w:style>
  <w:style w:type="character" w:styleId="ListLabel3">
    <w:name w:val="ListLabel 3"/>
    <w:qFormat/>
    <w:rPr>
      <w:rFonts w:ascii="Times New Roman" w:hAnsi="Times New Roman" w:eastAsia="Calibri" w:cs="Times New Roman"/>
      <w:b/>
      <w:sz w:val="28"/>
    </w:rPr>
  </w:style>
  <w:style w:type="character" w:styleId="ListLabel4">
    <w:name w:val="ListLabel 4"/>
    <w:qFormat/>
    <w:rPr>
      <w:strike w:val="false"/>
      <w:dstrike w:val="false"/>
      <w:u w:val="none"/>
      <w:effect w:val="blinkBackground"/>
    </w:rPr>
  </w:style>
  <w:style w:type="character" w:styleId="ListLabel5">
    <w:name w:val="ListLabel 5"/>
    <w:qFormat/>
    <w:rPr>
      <w:rFonts w:eastAsia="Calibri"/>
      <w:color w:val="221E1F"/>
    </w:rPr>
  </w:style>
  <w:style w:type="character" w:styleId="ListLabel6">
    <w:name w:val="ListLabel 6"/>
    <w:qFormat/>
    <w:rPr>
      <w:rFonts w:ascii="Times New Roman" w:hAnsi="Times New Roman" w:cs="Calibri"/>
      <w:sz w:val="28"/>
    </w:rPr>
  </w:style>
  <w:style w:type="character" w:styleId="Style20">
    <w:name w:val="Интернет-ссылка"/>
    <w:rPr>
      <w:color w:val="000080"/>
      <w:u w:val="single"/>
      <w:lang w:val="zxx" w:eastAsia="zxx" w:bidi="zxx"/>
    </w:rPr>
  </w:style>
  <w:style w:type="character" w:styleId="ListLabel7">
    <w:name w:val="ListLabel 7"/>
    <w:qFormat/>
    <w:rPr>
      <w:rFonts w:ascii="Times New Roman" w:hAnsi="Times New Roman" w:cs="Times New Roman"/>
      <w:b/>
      <w:sz w:val="28"/>
    </w:rPr>
  </w:style>
  <w:style w:type="character" w:styleId="ListLabel8">
    <w:name w:val="ListLabel 8"/>
    <w:qFormat/>
    <w:rPr>
      <w:rFonts w:ascii="Times New Roman" w:hAnsi="Times New Roman" w:eastAsia="Calibri" w:cs="Times New Roman"/>
      <w:b/>
      <w:sz w:val="28"/>
    </w:rPr>
  </w:style>
  <w:style w:type="character" w:styleId="ListLabel9">
    <w:name w:val="ListLabel 9"/>
    <w:qFormat/>
    <w:rPr>
      <w:rFonts w:ascii="Times New Roman" w:hAnsi="Times New Roman" w:cs="Calibri"/>
      <w:sz w:val="28"/>
    </w:rPr>
  </w:style>
  <w:style w:type="character" w:styleId="ListLabel10">
    <w:name w:val="ListLabel 10"/>
    <w:qFormat/>
    <w:rPr>
      <w:rFonts w:ascii="Times New Roman" w:hAnsi="Times New Roman" w:cs="Times New Roman"/>
      <w:b/>
      <w:sz w:val="28"/>
    </w:rPr>
  </w:style>
  <w:style w:type="character" w:styleId="ListLabel11">
    <w:name w:val="ListLabel 11"/>
    <w:qFormat/>
    <w:rPr>
      <w:rFonts w:ascii="Times New Roman" w:hAnsi="Times New Roman" w:eastAsia="Calibri" w:cs="Times New Roman"/>
      <w:b/>
      <w:sz w:val="28"/>
    </w:rPr>
  </w:style>
  <w:style w:type="character" w:styleId="ListLabel12">
    <w:name w:val="ListLabel 12"/>
    <w:qFormat/>
    <w:rPr>
      <w:rFonts w:ascii="Times New Roman" w:hAnsi="Times New Roman" w:cs="Calibri"/>
      <w:sz w:val="28"/>
    </w:rPr>
  </w:style>
  <w:style w:type="character" w:styleId="ListLabel13">
    <w:name w:val="ListLabel 13"/>
    <w:qFormat/>
    <w:rPr>
      <w:rFonts w:ascii="Times New Roman" w:hAnsi="Times New Roman" w:cs="Times New Roman"/>
      <w:b/>
      <w:sz w:val="28"/>
    </w:rPr>
  </w:style>
  <w:style w:type="character" w:styleId="ListLabel14">
    <w:name w:val="ListLabel 14"/>
    <w:qFormat/>
    <w:rPr>
      <w:rFonts w:ascii="Times New Roman" w:hAnsi="Times New Roman" w:eastAsia="Calibri" w:cs="Times New Roman"/>
      <w:b/>
      <w:sz w:val="28"/>
    </w:rPr>
  </w:style>
  <w:style w:type="character" w:styleId="ListLabel15">
    <w:name w:val="ListLabel 15"/>
    <w:qFormat/>
    <w:rPr>
      <w:rFonts w:ascii="Times New Roman" w:hAnsi="Times New Roman" w:cs="Calibri"/>
      <w:sz w:val="28"/>
    </w:rPr>
  </w:style>
  <w:style w:type="character" w:styleId="ListLabel16">
    <w:name w:val="ListLabel 16"/>
    <w:qFormat/>
    <w:rPr>
      <w:rFonts w:ascii="Times New Roman" w:hAnsi="Times New Roman" w:cs="Times New Roman"/>
      <w:b/>
      <w:sz w:val="28"/>
    </w:rPr>
  </w:style>
  <w:style w:type="character" w:styleId="ListLabel17">
    <w:name w:val="ListLabel 17"/>
    <w:qFormat/>
    <w:rPr>
      <w:rFonts w:ascii="Times New Roman" w:hAnsi="Times New Roman" w:eastAsia="Calibri" w:cs="Times New Roman"/>
      <w:b/>
      <w:sz w:val="28"/>
    </w:rPr>
  </w:style>
  <w:style w:type="character" w:styleId="ListLabel18">
    <w:name w:val="ListLabel 18"/>
    <w:qFormat/>
    <w:rPr>
      <w:rFonts w:ascii="Times New Roman" w:hAnsi="Times New Roman" w:cs="Calibri"/>
      <w:sz w:val="28"/>
    </w:rPr>
  </w:style>
  <w:style w:type="character" w:styleId="ListLabel19">
    <w:name w:val="ListLabel 19"/>
    <w:qFormat/>
    <w:rPr>
      <w:rFonts w:ascii="Times New Roman" w:hAnsi="Times New Roman" w:cs="Times New Roman"/>
      <w:b/>
      <w:sz w:val="28"/>
    </w:rPr>
  </w:style>
  <w:style w:type="character" w:styleId="ListLabel20">
    <w:name w:val="ListLabel 20"/>
    <w:qFormat/>
    <w:rPr>
      <w:rFonts w:ascii="Times New Roman" w:hAnsi="Times New Roman" w:eastAsia="Calibri" w:cs="Times New Roman"/>
      <w:b/>
      <w:sz w:val="28"/>
    </w:rPr>
  </w:style>
  <w:style w:type="character" w:styleId="ListLabel21">
    <w:name w:val="ListLabel 21"/>
    <w:qFormat/>
    <w:rPr>
      <w:rFonts w:ascii="Times New Roman" w:hAnsi="Times New Roman" w:cs="Calibri"/>
      <w:sz w:val="28"/>
    </w:rPr>
  </w:style>
  <w:style w:type="character" w:styleId="ListLabel22">
    <w:name w:val="ListLabel 22"/>
    <w:qFormat/>
    <w:rPr>
      <w:rFonts w:ascii="Times New Roman" w:hAnsi="Times New Roman" w:cs="Times New Roman"/>
      <w:b/>
      <w:sz w:val="28"/>
    </w:rPr>
  </w:style>
  <w:style w:type="character" w:styleId="ListLabel23">
    <w:name w:val="ListLabel 23"/>
    <w:qFormat/>
    <w:rPr>
      <w:rFonts w:ascii="Times New Roman" w:hAnsi="Times New Roman" w:eastAsia="Calibri" w:cs="Times New Roman"/>
      <w:b/>
      <w:sz w:val="28"/>
    </w:rPr>
  </w:style>
  <w:style w:type="character" w:styleId="ListLabel24">
    <w:name w:val="ListLabel 24"/>
    <w:qFormat/>
    <w:rPr>
      <w:rFonts w:ascii="Times New Roman" w:hAnsi="Times New Roman" w:cs="Calibri"/>
      <w:sz w:val="28"/>
    </w:rPr>
  </w:style>
  <w:style w:type="character" w:styleId="ListLabel25">
    <w:name w:val="ListLabel 25"/>
    <w:qFormat/>
    <w:rPr>
      <w:rFonts w:ascii="Times New Roman" w:hAnsi="Times New Roman" w:cs="Times New Roman"/>
      <w:b/>
      <w:sz w:val="28"/>
    </w:rPr>
  </w:style>
  <w:style w:type="character" w:styleId="ListLabel26">
    <w:name w:val="ListLabel 26"/>
    <w:qFormat/>
    <w:rPr>
      <w:rFonts w:ascii="Times New Roman" w:hAnsi="Times New Roman" w:eastAsia="Calibri" w:cs="Times New Roman"/>
      <w:b/>
      <w:sz w:val="28"/>
    </w:rPr>
  </w:style>
  <w:style w:type="character" w:styleId="ListLabel27">
    <w:name w:val="ListLabel 27"/>
    <w:qFormat/>
    <w:rPr>
      <w:rFonts w:ascii="Times New Roman" w:hAnsi="Times New Roman" w:cs="Calibri"/>
      <w:sz w:val="28"/>
    </w:rPr>
  </w:style>
  <w:style w:type="character" w:styleId="ListLabel28">
    <w:name w:val="ListLabel 28"/>
    <w:qFormat/>
    <w:rPr>
      <w:rFonts w:ascii="Times New Roman" w:hAnsi="Times New Roman" w:cs="Times New Roman"/>
      <w:b/>
      <w:sz w:val="28"/>
    </w:rPr>
  </w:style>
  <w:style w:type="character" w:styleId="ListLabel29">
    <w:name w:val="ListLabel 29"/>
    <w:qFormat/>
    <w:rPr>
      <w:rFonts w:ascii="Times New Roman" w:hAnsi="Times New Roman" w:eastAsia="Calibri" w:cs="Times New Roman"/>
      <w:b/>
      <w:sz w:val="28"/>
    </w:rPr>
  </w:style>
  <w:style w:type="character" w:styleId="ListLabel30">
    <w:name w:val="ListLabel 30"/>
    <w:qFormat/>
    <w:rPr>
      <w:rFonts w:ascii="Times New Roman" w:hAnsi="Times New Roman" w:cs="Calibri"/>
      <w:sz w:val="28"/>
    </w:rPr>
  </w:style>
  <w:style w:type="paragraph" w:styleId="Style21">
    <w:name w:val="Заголовок"/>
    <w:basedOn w:val="Normal"/>
    <w:next w:val="Style22"/>
    <w:qFormat/>
    <w:pPr>
      <w:keepNext/>
      <w:spacing w:before="240" w:after="120"/>
    </w:pPr>
    <w:rPr>
      <w:rFonts w:ascii="Liberation Sans" w:hAnsi="Liberation Sans" w:eastAsia="Microsoft YaHei" w:cs="Mangal"/>
      <w:sz w:val="28"/>
      <w:szCs w:val="28"/>
    </w:rPr>
  </w:style>
  <w:style w:type="paragraph" w:styleId="Style22">
    <w:name w:val="Основной текст"/>
    <w:basedOn w:val="Normal"/>
    <w:link w:val="a8"/>
    <w:uiPriority w:val="99"/>
    <w:semiHidden/>
    <w:rsid w:val="0058550a"/>
    <w:pPr>
      <w:spacing w:lineRule="auto" w:line="240" w:before="0" w:after="0"/>
      <w:jc w:val="both"/>
    </w:pPr>
    <w:rPr>
      <w:sz w:val="28"/>
      <w:szCs w:val="20"/>
      <w:lang w:eastAsia="ru-RU"/>
    </w:rPr>
  </w:style>
  <w:style w:type="paragraph" w:styleId="Style23">
    <w:name w:val="Список"/>
    <w:basedOn w:val="Style22"/>
    <w:pPr/>
    <w:rPr>
      <w:rFonts w:cs="Mangal"/>
    </w:rPr>
  </w:style>
  <w:style w:type="paragraph" w:styleId="Style24">
    <w:name w:val="Название"/>
    <w:basedOn w:val="Normal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5">
    <w:name w:val="Указатель"/>
    <w:basedOn w:val="Normal"/>
    <w:qFormat/>
    <w:pPr>
      <w:suppressLineNumbers/>
    </w:pPr>
    <w:rPr>
      <w:rFonts w:cs="Mangal"/>
    </w:rPr>
  </w:style>
  <w:style w:type="paragraph" w:styleId="ListParagraph">
    <w:name w:val="List Paragraph"/>
    <w:basedOn w:val="Normal"/>
    <w:link w:val="a5"/>
    <w:uiPriority w:val="99"/>
    <w:qFormat/>
    <w:rsid w:val="00bf41be"/>
    <w:pPr>
      <w:spacing w:before="0" w:after="200"/>
      <w:ind w:left="720" w:hanging="0"/>
      <w:contextualSpacing/>
    </w:pPr>
    <w:rPr/>
  </w:style>
  <w:style w:type="paragraph" w:styleId="ConsPlusCell" w:customStyle="1">
    <w:name w:val="ConsPlusCell"/>
    <w:uiPriority w:val="99"/>
    <w:qFormat/>
    <w:rsid w:val="00f41c0b"/>
    <w:pPr>
      <w:widowControl w:val="false"/>
      <w:bidi w:val="0"/>
      <w:jc w:val="left"/>
    </w:pPr>
    <w:rPr>
      <w:rFonts w:ascii="Calibri" w:hAnsi="Calibri" w:eastAsia="Times New Roman" w:cs="Calibri"/>
      <w:color w:val="00000A"/>
      <w:sz w:val="22"/>
      <w:szCs w:val="22"/>
      <w:lang w:val="ru-RU" w:eastAsia="ru-RU" w:bidi="ar-SA"/>
    </w:rPr>
  </w:style>
  <w:style w:type="paragraph" w:styleId="NormalWeb">
    <w:name w:val="Normal (Web)"/>
    <w:basedOn w:val="Normal"/>
    <w:uiPriority w:val="99"/>
    <w:semiHidden/>
    <w:qFormat/>
    <w:rsid w:val="00f41c0b"/>
    <w:pPr>
      <w:spacing w:lineRule="auto" w:line="240" w:beforeAutospacing="1" w:afterAutospacing="1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ConsPlusNormal1" w:customStyle="1">
    <w:name w:val="ConsPlusNormal"/>
    <w:link w:val="ConsPlusNormal0"/>
    <w:uiPriority w:val="99"/>
    <w:qFormat/>
    <w:rsid w:val="0058550a"/>
    <w:pPr>
      <w:widowControl w:val="false"/>
      <w:bidi w:val="0"/>
      <w:ind w:firstLine="720"/>
      <w:jc w:val="left"/>
    </w:pPr>
    <w:rPr>
      <w:rFonts w:ascii="Arial" w:hAnsi="Arial" w:eastAsia="Calibri" w:cs="Times New Roman"/>
      <w:color w:val="00000A"/>
      <w:sz w:val="22"/>
      <w:szCs w:val="22"/>
      <w:lang w:val="ru-RU" w:eastAsia="ru-RU" w:bidi="ar-SA"/>
    </w:rPr>
  </w:style>
  <w:style w:type="paragraph" w:styleId="Style26">
    <w:name w:val="Основной текст с отступом"/>
    <w:basedOn w:val="Normal"/>
    <w:link w:val="aa"/>
    <w:uiPriority w:val="99"/>
    <w:rsid w:val="0058550a"/>
    <w:pPr>
      <w:spacing w:lineRule="auto" w:line="240" w:before="0" w:after="120"/>
      <w:ind w:left="283" w:hanging="0"/>
    </w:pPr>
    <w:rPr>
      <w:sz w:val="24"/>
      <w:szCs w:val="20"/>
      <w:lang w:eastAsia="ru-RU"/>
    </w:rPr>
  </w:style>
  <w:style w:type="paragraph" w:styleId="ConsNormal" w:customStyle="1">
    <w:name w:val="ConsNormal"/>
    <w:uiPriority w:val="99"/>
    <w:qFormat/>
    <w:rsid w:val="0058550a"/>
    <w:pPr>
      <w:widowControl w:val="false"/>
      <w:bidi w:val="0"/>
      <w:ind w:firstLine="720"/>
      <w:jc w:val="left"/>
    </w:pPr>
    <w:rPr>
      <w:rFonts w:ascii="Arial" w:hAnsi="Arial" w:eastAsia="Times New Roman" w:cs="Arial"/>
      <w:color w:val="00000A"/>
      <w:sz w:val="22"/>
      <w:szCs w:val="20"/>
      <w:lang w:val="ru-RU" w:eastAsia="ru-RU" w:bidi="ar-SA"/>
    </w:rPr>
  </w:style>
  <w:style w:type="paragraph" w:styleId="BalloonText">
    <w:name w:val="Balloon Text"/>
    <w:basedOn w:val="Normal"/>
    <w:link w:val="ac"/>
    <w:uiPriority w:val="99"/>
    <w:semiHidden/>
    <w:qFormat/>
    <w:rsid w:val="00970c12"/>
    <w:pPr>
      <w:spacing w:lineRule="auto" w:line="240" w:before="0" w:after="0"/>
    </w:pPr>
    <w:rPr>
      <w:rFonts w:ascii="Tahoma" w:hAnsi="Tahoma"/>
      <w:sz w:val="16"/>
      <w:szCs w:val="16"/>
    </w:rPr>
  </w:style>
  <w:style w:type="paragraph" w:styleId="Style27">
    <w:name w:val="Верхний колонтитул"/>
    <w:basedOn w:val="Normal"/>
    <w:link w:val="ae"/>
    <w:uiPriority w:val="99"/>
    <w:semiHidden/>
    <w:unhideWhenUsed/>
    <w:rsid w:val="00cd344b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8">
    <w:name w:val="Нижний колонтитул"/>
    <w:basedOn w:val="Normal"/>
    <w:link w:val="af0"/>
    <w:uiPriority w:val="99"/>
    <w:semiHidden/>
    <w:unhideWhenUsed/>
    <w:rsid w:val="00cd344b"/>
    <w:pPr>
      <w:tabs>
        <w:tab w:val="center" w:pos="4677" w:leader="none"/>
        <w:tab w:val="right" w:pos="9355" w:leader="none"/>
      </w:tabs>
      <w:spacing w:lineRule="auto" w:line="240" w:before="0" w:after="0"/>
    </w:pPr>
    <w:rPr/>
  </w:style>
  <w:style w:type="paragraph" w:styleId="Style29" w:customStyle="1">
    <w:name w:val="Style2"/>
    <w:basedOn w:val="Normal"/>
    <w:qFormat/>
    <w:rsid w:val="007433e6"/>
    <w:pPr>
      <w:widowControl w:val="false"/>
      <w:spacing w:lineRule="exact" w:line="387" w:before="0" w:after="0"/>
      <w:ind w:firstLine="662"/>
      <w:jc w:val="both"/>
    </w:pPr>
    <w:rPr>
      <w:rFonts w:ascii="Times New Roman" w:hAnsi="Times New Roman" w:eastAsia="Times New Roman"/>
      <w:sz w:val="24"/>
      <w:szCs w:val="24"/>
      <w:lang w:eastAsia="ru-RU"/>
    </w:rPr>
  </w:style>
  <w:style w:type="paragraph" w:styleId="Default1" w:customStyle="1">
    <w:name w:val="Default"/>
    <w:link w:val="Default"/>
    <w:qFormat/>
    <w:rsid w:val="007433e6"/>
    <w:pPr>
      <w:widowControl/>
      <w:bidi w:val="0"/>
      <w:jc w:val="left"/>
    </w:pPr>
    <w:rPr>
      <w:rFonts w:ascii="Calibri" w:hAnsi="Calibri" w:eastAsia="Calibri" w:cs="Times New Roman"/>
      <w:color w:val="000000"/>
      <w:sz w:val="24"/>
      <w:szCs w:val="24"/>
      <w:lang w:val="ru-RU" w:eastAsia="ru-RU" w:bidi="ar-SA"/>
    </w:rPr>
  </w:style>
  <w:style w:type="paragraph" w:styleId="ConsPlusTitle" w:customStyle="1">
    <w:name w:val="ConsPlusTitle"/>
    <w:qFormat/>
    <w:rsid w:val="009238f6"/>
    <w:pPr>
      <w:widowControl w:val="false"/>
      <w:bidi w:val="0"/>
      <w:jc w:val="left"/>
    </w:pPr>
    <w:rPr>
      <w:rFonts w:ascii="Arial" w:hAnsi="Arial" w:eastAsia="Times New Roman" w:cs="Arial"/>
      <w:b/>
      <w:bCs/>
      <w:color w:val="00000A"/>
      <w:sz w:val="22"/>
      <w:szCs w:val="20"/>
      <w:lang w:val="ru-RU" w:eastAsia="ru-RU" w:bidi="ar-SA"/>
    </w:rPr>
  </w:style>
  <w:style w:type="numbering" w:styleId="NoList" w:default="1">
    <w:name w:val="No List"/>
    <w:uiPriority w:val="99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99"/>
    <w:rsid w:val="00bf41be"/>
    <w:tblPr>
      <w:tblInd w:w="0" w:type="dxa"/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consultantplus://offline/ref=653FF5B20CDC58A9D459063A8A18CFC2550C00C68978CBA07CAF96C9B1FDDFA1B75E05AEA1RDf9K" TargetMode="External"/><Relationship Id="rId3" Type="http://schemas.openxmlformats.org/officeDocument/2006/relationships/hyperlink" Target="consultantplus://offline/ref=653FF5B20CDC58A9D459063A8A18CFC2550C00C68978CBA07CAF96C9B1RFfDK" TargetMode="External"/><Relationship Id="rId4" Type="http://schemas.openxmlformats.org/officeDocument/2006/relationships/hyperlink" Target="consultantplus://offline/ref=653FF5B20CDC58A9D459063A8A18CFC2550C07C48F7BCBA07CAF96C9B1RFfDK" TargetMode="External"/><Relationship Id="rId5" Type="http://schemas.openxmlformats.org/officeDocument/2006/relationships/hyperlink" Target="consultantplus://offline/ref=D63B5488AD4FAF7A273BDD69E8AC2FFCE52FCA00790BFBFB5B16093BFB7289F0D23A98FD0E917DdB6BH" TargetMode="External"/><Relationship Id="rId6" Type="http://schemas.openxmlformats.org/officeDocument/2006/relationships/numbering" Target="numbering.xml"/><Relationship Id="rId7" Type="http://schemas.openxmlformats.org/officeDocument/2006/relationships/fontTable" Target="fontTable.xml"/><Relationship Id="rId8" Type="http://schemas.openxmlformats.org/officeDocument/2006/relationships/settings" Target="settings.xml"/><Relationship Id="rId9" Type="http://schemas.openxmlformats.org/officeDocument/2006/relationships/theme" Target="theme/theme1.xml"/><Relationship Id="rId10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425F32-346D-4426-9390-8EF399E8D5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1562</TotalTime>
  <Application>LibreOffice/5.0.4.2$Windows_X86_64 LibreOffice_project/2b9802c1994aa0b7dc6079e128979269cf95bc78</Application>
  <Paragraphs>133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2013-09-24T08:01:00Z</dcterms:created>
  <dc:creator>kom5</dc:creator>
  <dc:language>ru-RU</dc:language>
  <cp:lastPrinted>2016-01-17T07:28:00Z</cp:lastPrinted>
  <dcterms:modified xsi:type="dcterms:W3CDTF">2017-01-30T14:48:11Z</dcterms:modified>
  <cp:revision>355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